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VB 2007 6 vom 26. Juni 2007</w:t>
      </w:r>
    </w:p>
    <w:p>
      <w:r>
        <w:t>GR Gerichte, 2007-06-26, DE</w:t>
      </w:r>
    </w:p>
    <w:p>
      <w:r>
        <w:rPr>
          <w:b/>
        </w:rPr>
        <w:t xml:space="preserve">Quelle: </w:t>
      </w:r>
      <w:r>
        <w:t>https://mcp.opencaselaw.ch/entscheid/gr_gerichte_VB 2007 6</w:t>
      </w:r>
    </w:p>
    <w:p>
      <w:r>
        <w:t>FR: GR_GERICHTE VB 2007 6 du 26 juin 2007</w:t>
      </w:r>
    </w:p>
    <w:p>
      <w:r>
        <w:t>IT: GR_GERICHTE VB 2007 6 del 26 giugno 2007</w:t>
      </w:r>
    </w:p>
    <w:p>
      <w:pPr>
        <w:pStyle w:val="Heading2"/>
      </w:pPr>
      <w:r>
        <w:t>Regeste</w:t>
      </w:r>
    </w:p>
    <w:p>
      <w:r>
        <w:t>Führerausweisentzug | Öffentliche Werke-Energie-Verkehr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Angeschuldigte A. anerkennt die Verletzung der Verkehrsre- geln am 19.05.2006, jedoch ist die Einstufung als schweres Verge- hen im Sinne des SVG weit übertrieben.</w:t>
      </w:r>
    </w:p>
    <w:p>
      <w:r>
        <w:rPr>
          <w:b/>
        </w:rPr>
        <w:t>E. 3</w:t>
      </w:r>
    </w:p>
    <w:p>
      <w:r>
        <w:t>Der Angeschuldigte A. verlangt Einsicht in die Strafakten, insbeson- dere den Rapport des Polizeibeamten in Schiers.</w:t>
      </w:r>
    </w:p>
    <w:p>
      <w:r>
        <w:rPr>
          <w:b/>
        </w:rPr>
        <w:t>E. 4</w:t>
      </w:r>
    </w:p>
    <w:p>
      <w:r>
        <w:t>Das Strassenverkehrsamt des Kantons Graubünden sei anzuwei- sen, einen angemessenen Führerausweisentzug auf Bewährung zu verfügen und das Verschulden als leicht zu qualifizieren." C. Mit Verfügung vom 11. Mai 2007, mitgeteilt am 22. Mai 2007, er- kannte das Departement für Justiz, Sicherheit und Gesundheit Graubünden: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